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Edilizia Privata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Le competenze principali consistono nell'esame e nel controllo/gestione dei progetti di trasformazione edilizia del territorio, per l'esecuzione dei quali occorre presentare domanda di permesso di costruire o denuncia di inizio attivita'. Le competenze si estendono anche ad attivita' piu' specifiche di natura edilizia ovvero, rilascio dell'agibilita', funzioni di vigilanza e di controllo sull'edificato, e tutte quelle amministrative relative alla subdelega regionale in materia di tutela ambientale; nonche' alla richiesta contributi per opere finalizzate all'eliminazione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Sanzioni per interventi eseguiti in assenza o difformita' dalla segnalazione certificata di inizio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Restituzione del contributo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ordinaria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Pompe di calore di potenza termica utile nominale inferiore a 12kw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(leggero)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di un manufatto edilizio - Autorizzazione (PdC)/silenzio-assenso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urbanizzazione primaria e secondaria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Torri e tralicci - Autorizzazione (PdC) / 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utilizzati come abitazione o luogo di lavoro o magazzini o depositi-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in strutture ricettive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(pesanti)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Pavimentazione di aree per iniziali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Pannelli fotovoltaici a servizio degli edifici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Aree ludiche ed elementi di arredo alle aree di pertinenza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in aree interne al centro edificato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non inerenti l'attivita' agricola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(con strutture in muratura)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a permessi di costruire comportanti modifica della sagoma nel centro storico 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-Autorizzazione (PdC) e Autorizzazione Comando Vigili del Fuoco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(PdC) piu'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Autorizzazione piu' SCIA (la mappatura si riferisce alla 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(PdC) piu' Autorizzazione (la mappatura si riferisca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(PdC) piu' Autorizzazione soprintendenza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(PdC) piu' Autorizzazione idrogeologica della Regione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(PdC) piu' Autorizzazione idraulica Regionale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PdC piu' Autorizzazione.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(PdC) piu' Autorizzazione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(PdC) piu' Autorizzazione Ente Parco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Autorizzazione (PdC) piu' Autorizzazione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Nuovi impianti ed infrastrutture adibiti ad attivita' produttive, sportive e ricreative e postazioni di servizi commerciali polifunzionali - Autorizzazione (PdC) piu': a) comunicazione (Se non si superano le soglie della zonizzazione comunale), b) ( autorizzazione in caso di emissioni superiori ai limiti della zonizzazione).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Autorizzazione (PdC) piu' comunicazione asseverata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Autorizzazione (PdC) piu' Comunicazione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n. 151/2011, categorie B e C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CILA SCIA piu' Autorizzazione piu' autorizzazione (PdC) 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corpi idrici)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in area di rispetto del demanio marittimo - CILA 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(nel caso di emissioni superiori ai limiti della zonizzazione comunale)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che si aggiunge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oltre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 nel caso di emissioni superiori ai limiti della zonizzazione comunale) (la mappatura si riferisce alla CILA) oltre ad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 oltre a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Comunicazione di inizio lavori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e omologazione degli impianti elettrici di messa a terra e dei dispositivi di protezione contro le scariche atmosferiche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al di sotto della soglia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alimentati da fonti rinnovabili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di produzione di energia termica da fonti rinnovabili, incluse pompe di calore, destinate a produzione di acqua calda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con capacita' produttiva non superiore a 500 standard metri cubi/ore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Denuncia dell'inizio dei lavori relativi alle opere volte al contenimento dei consumi energetici di cui agli art.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installazione di cartelli e insegne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installazione di ponteggio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paesaggistica semplificata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