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Piano diritto allo Studio e programmazione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 la gestione del servizio di trasporto scolastico, refezione, pre-accoglienza e post-accoglienza, stage estivi ed alternanza scuola/lavoro; gestisce l'erogazione di contributi alle istituzioni scolastiche presenti sul territorio per l'ampliamento dell'offerta formativa, borse e assegni di studio, buoni dote scuola per merito e sostegno al reddito, fornitura libri di testo scuola primaria.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ristorazione scolastica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tariffe e rette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Prestazioni agevolate (servizi educativi, socio-assistenziali, etc. 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Diritto allo studio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Contributo a istituti scolastici paritari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educativa alunni disabili in ambito scolastico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arredi e attrezzature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