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le richieste di copia rapporti di incidente stradale al diretto interessato;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difesa dell'Ente nei ricorsi al Prefetto/Giudice di Pace avverso sanzioni Codice della Strada;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cura le richieste di segnalazioni e sopralluogo da parte di cittadini;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 autorizzazioni passi carrai;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informazioni generali sul codice della strada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Calcolo e stima entrate da sanzioni per formazione bilancio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del contenzioso GdP e Tribunale alla difesa esterna mediante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 in proprio: elaborazione controdeduzioni per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contenzioso: Udienze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Annullamento d'ufficio di verbali per violazioni a norme di legge nazionale o regionale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di confisca e provvedimenti di dissequestro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Sequestri denaro o cose ai sensi del Reg. di P.U.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per occupazione temporanee di suolo pubblico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Controllo autorizzazioni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Ordinanza di ingiunzione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