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Segreteria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La Segreteria svolge funzioni di supporto amministrativo e gestionale alle funzioni del Segretario generale; supporto al Presidente del Consiglio ed alle segreterie delle commissioni consiliari; gestione ed archiviazione delle deliberazioni; raccolta delle determinazioni dei responsabili dei servizi e alla pubblicazione degli elenchi delle medesime; analisi e approfondimento degli atti normativi, statutari e regolamentari di interesse generale per l'ente e le funzioni di segreteria degli Organi Istituzionali.La segreteria assolve tutti i compiti di assistenza al Sindaco. Le attivita' principali della segreteria riguardano, principalmente, la raccolta, analisi, protocollazione e archiviazione di materiali di lavoro e di studio del Sindaco; preparazione di documentazione di interesse o competenza del Sindaco; gestione dell'agenda, della corrispondenza, degli inviti e delle missioni del Sindaco; gestione delle richieste dei cittadini rivolte al Sindaco;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organizzazione e gestione delle cerimoniale e delle occasioni di rappresentanza istituzionale.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GANDINI MARIA ELENA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Albo e inviti: Inviti consigli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Albo e notifiche: Pubblicazioni albo on line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Gestione sedute Consiglio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Convalida consiglieri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Surroghe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Approvazione verbali consiglio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Decadenze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Determinazione indennita'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Gestione sedute Giunta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 degli eletti: Pubblicazione e aggiornamento dati on line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Redazione delibera/determina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Archiviazione deliberazioni/determinazioni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Procedimento disciplinare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