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Ecologia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integrata ambientale - 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non sostanziale di impianti gia' in possesso di autorizzazione integrata ambientale - AIA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Valutazione o verifica di assoggettabilita' a impatto ambientale - VIA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unica ambientale - AUA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sostanziale di impianto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messa in esercizio dello stabilimento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modifica non sostanziale dello stabilimento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all'impiego e/o alla custodia di gas tossici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elettromagnetico: Autorizzazione per impianti di telefonia mobile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Attestazione prevista dalla nota dell'Agenzia delle Dogane, Prot. 41017 del 12/04/2010, di ubicazione immobile in zona non metanizzata ai fini dell'applicazione della L. 448/1998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Isole ecologiche: controllo servizio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Operativo degli Interventi di Bonifica: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e ripristino di aree contaminate: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luminoso: bonifica degli impianti di illuminazione esterna -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Indagine ambientale preliminare: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della caratterizzazione: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utilizzo - Materiali di scarico: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Classificazione industrie insalubri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di occupazione suolo pubblico in aree verdi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Provvedimento per l'esecuzione d'ufficio in caso di mancata ottemperanza da parte dei destinatari a quanto precedentemente ordinato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d'accesso al centro raccolta rifiuti utenze non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pulizia idraulica sui corsi d'acqua appartenenti al reticolo idrico minore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rifuti differenziati presso 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verifiche distanze cassonetti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